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4A93D" w14:textId="77777777" w:rsidR="0061159F" w:rsidRPr="00CC0F18" w:rsidRDefault="00E01853">
      <w:pPr>
        <w:rPr>
          <w:rFonts w:asciiTheme="minorHAnsi" w:hAnsiTheme="minorHAnsi" w:cstheme="minorHAnsi"/>
          <w:sz w:val="24"/>
          <w:szCs w:val="24"/>
        </w:rPr>
      </w:pPr>
      <w:r w:rsidRPr="00CC0F18">
        <w:rPr>
          <w:rFonts w:asciiTheme="minorHAnsi" w:hAnsiTheme="minorHAnsi" w:cstheme="minorHAnsi"/>
          <w:sz w:val="24"/>
          <w:szCs w:val="24"/>
        </w:rPr>
        <w:t>Institute of Zoology and Biomedical Research</w:t>
      </w:r>
    </w:p>
    <w:p w14:paraId="00F7631D" w14:textId="4BE12DFE" w:rsidR="005A073E" w:rsidRPr="00CC0F18" w:rsidRDefault="005A073E" w:rsidP="00CC0F18">
      <w:pPr>
        <w:spacing w:after="120"/>
        <w:jc w:val="both"/>
        <w:rPr>
          <w:rFonts w:asciiTheme="minorHAnsi" w:hAnsiTheme="minorHAnsi" w:cstheme="minorHAnsi"/>
          <w:bCs/>
          <w:color w:val="C00000"/>
          <w:sz w:val="24"/>
          <w:szCs w:val="24"/>
        </w:rPr>
      </w:pPr>
      <w:r w:rsidRPr="00CC0F18">
        <w:rPr>
          <w:rFonts w:asciiTheme="minorHAnsi" w:hAnsiTheme="minorHAnsi" w:cstheme="minorHAnsi"/>
          <w:b/>
          <w:sz w:val="24"/>
          <w:szCs w:val="24"/>
        </w:rPr>
        <w:t>Topic</w:t>
      </w:r>
      <w:r w:rsidR="00CC0F18" w:rsidRPr="00CC0F18">
        <w:rPr>
          <w:rFonts w:asciiTheme="minorHAnsi" w:hAnsiTheme="minorHAnsi" w:cstheme="minorHAnsi"/>
          <w:b/>
          <w:sz w:val="24"/>
          <w:szCs w:val="24"/>
        </w:rPr>
        <w:t xml:space="preserve">: </w:t>
      </w:r>
      <w:r w:rsidRPr="00CC0F18">
        <w:rPr>
          <w:rFonts w:asciiTheme="minorHAnsi" w:hAnsiTheme="minorHAnsi" w:cstheme="minorHAnsi"/>
          <w:bCs/>
          <w:sz w:val="24"/>
          <w:szCs w:val="24"/>
        </w:rPr>
        <w:t>Effects of reproductive mode and cryptobiosis on tardigrade dispersal, speciation and extinction rates.</w:t>
      </w:r>
    </w:p>
    <w:p w14:paraId="3D7C8331" w14:textId="4611924B" w:rsidR="005A073E" w:rsidRPr="00CC0F18" w:rsidRDefault="005A073E" w:rsidP="00CC0F18">
      <w:pPr>
        <w:spacing w:before="360"/>
        <w:jc w:val="both"/>
        <w:rPr>
          <w:rFonts w:asciiTheme="minorHAnsi" w:hAnsiTheme="minorHAnsi" w:cstheme="minorHAnsi"/>
          <w:sz w:val="24"/>
          <w:szCs w:val="24"/>
        </w:rPr>
      </w:pPr>
      <w:r w:rsidRPr="00CC0F18">
        <w:rPr>
          <w:rFonts w:asciiTheme="minorHAnsi" w:hAnsiTheme="minorHAnsi" w:cstheme="minorHAnsi"/>
          <w:b/>
          <w:sz w:val="24"/>
          <w:szCs w:val="24"/>
        </w:rPr>
        <w:t>Supervisor</w:t>
      </w:r>
      <w:r w:rsidR="00CC0F18" w:rsidRPr="00CC0F18">
        <w:rPr>
          <w:rFonts w:asciiTheme="minorHAnsi" w:hAnsiTheme="minorHAnsi" w:cstheme="minorHAnsi"/>
          <w:b/>
          <w:sz w:val="24"/>
          <w:szCs w:val="24"/>
        </w:rPr>
        <w:t xml:space="preserve">: </w:t>
      </w:r>
      <w:proofErr w:type="spellStart"/>
      <w:r w:rsidR="00CC0F18" w:rsidRPr="00CC0F18">
        <w:rPr>
          <w:rFonts w:asciiTheme="minorHAnsi" w:hAnsiTheme="minorHAnsi" w:cstheme="minorHAnsi"/>
          <w:sz w:val="24"/>
          <w:szCs w:val="24"/>
        </w:rPr>
        <w:t>d</w:t>
      </w:r>
      <w:r w:rsidRPr="00CC0F18">
        <w:rPr>
          <w:rFonts w:asciiTheme="minorHAnsi" w:hAnsiTheme="minorHAnsi" w:cstheme="minorHAnsi"/>
          <w:sz w:val="24"/>
          <w:szCs w:val="24"/>
        </w:rPr>
        <w:t>r</w:t>
      </w:r>
      <w:proofErr w:type="spellEnd"/>
      <w:r w:rsidRPr="00CC0F18">
        <w:rPr>
          <w:rFonts w:asciiTheme="minorHAnsi" w:hAnsiTheme="minorHAnsi" w:cstheme="minorHAnsi"/>
          <w:sz w:val="24"/>
          <w:szCs w:val="24"/>
        </w:rPr>
        <w:t xml:space="preserve"> hab. Łukasz Michalczyk (Department of Entomology, Institute of Zoology and Biomedical Research)</w:t>
      </w:r>
      <w:r w:rsidR="00CC0F18" w:rsidRPr="00CC0F18">
        <w:rPr>
          <w:rFonts w:asciiTheme="minorHAnsi" w:hAnsiTheme="minorHAnsi" w:cstheme="minorHAnsi"/>
          <w:sz w:val="24"/>
          <w:szCs w:val="24"/>
        </w:rPr>
        <w:t xml:space="preserve">  </w:t>
      </w:r>
      <w:hyperlink r:id="rId7" w:history="1">
        <w:r w:rsidR="00CC0F18" w:rsidRPr="00CC0F18">
          <w:rPr>
            <w:rStyle w:val="Hipercze"/>
            <w:rFonts w:asciiTheme="minorHAnsi" w:hAnsiTheme="minorHAnsi" w:cstheme="minorHAnsi"/>
            <w:sz w:val="24"/>
            <w:szCs w:val="24"/>
            <w:shd w:val="clear" w:color="auto" w:fill="FFFFFF"/>
          </w:rPr>
          <w:t>l.michalczyk@uj.edu.pl</w:t>
        </w:r>
      </w:hyperlink>
      <w:r w:rsidR="00CC0F18" w:rsidRPr="00CC0F18">
        <w:rPr>
          <w:rFonts w:asciiTheme="minorHAnsi" w:hAnsiTheme="minorHAnsi" w:cstheme="minorHAnsi"/>
          <w:color w:val="888888"/>
          <w:sz w:val="24"/>
          <w:szCs w:val="24"/>
          <w:shd w:val="clear" w:color="auto" w:fill="FFFFFF"/>
        </w:rPr>
        <w:t xml:space="preserve"> </w:t>
      </w:r>
    </w:p>
    <w:p w14:paraId="6CC1C3F4" w14:textId="77777777" w:rsidR="005A073E" w:rsidRPr="00CC0F18" w:rsidRDefault="005A073E" w:rsidP="00CC0F18">
      <w:pPr>
        <w:spacing w:before="360" w:after="0"/>
        <w:jc w:val="both"/>
        <w:rPr>
          <w:rFonts w:asciiTheme="minorHAnsi" w:hAnsiTheme="minorHAnsi" w:cstheme="minorHAnsi"/>
          <w:sz w:val="24"/>
          <w:szCs w:val="24"/>
        </w:rPr>
      </w:pPr>
      <w:r w:rsidRPr="00CC0F18">
        <w:rPr>
          <w:rFonts w:asciiTheme="minorHAnsi" w:hAnsiTheme="minorHAnsi" w:cstheme="minorHAnsi"/>
          <w:b/>
          <w:sz w:val="24"/>
          <w:szCs w:val="24"/>
        </w:rPr>
        <w:t>Background information</w:t>
      </w:r>
    </w:p>
    <w:p w14:paraId="6087655E" w14:textId="77777777" w:rsidR="005A073E" w:rsidRPr="00CC0F18" w:rsidRDefault="005A073E" w:rsidP="00CC0F18">
      <w:pPr>
        <w:pStyle w:val="Akapitzlist"/>
        <w:spacing w:after="120"/>
        <w:ind w:left="0"/>
        <w:contextualSpacing w:val="0"/>
        <w:jc w:val="both"/>
        <w:rPr>
          <w:rFonts w:cstheme="minorHAnsi"/>
          <w:sz w:val="24"/>
          <w:szCs w:val="24"/>
        </w:rPr>
      </w:pPr>
      <w:r w:rsidRPr="00CC0F18">
        <w:rPr>
          <w:rFonts w:cstheme="minorHAnsi"/>
          <w:sz w:val="24"/>
          <w:szCs w:val="24"/>
        </w:rPr>
        <w:t xml:space="preserve">Tardigrades are a phylum of </w:t>
      </w:r>
      <w:proofErr w:type="spellStart"/>
      <w:r w:rsidRPr="00CC0F18">
        <w:rPr>
          <w:rFonts w:cstheme="minorHAnsi"/>
          <w:sz w:val="24"/>
          <w:szCs w:val="24"/>
        </w:rPr>
        <w:t>microinvertebrates</w:t>
      </w:r>
      <w:proofErr w:type="spellEnd"/>
      <w:r w:rsidRPr="00CC0F18">
        <w:rPr>
          <w:rFonts w:cstheme="minorHAnsi"/>
          <w:sz w:val="24"/>
          <w:szCs w:val="24"/>
        </w:rPr>
        <w:t xml:space="preserve"> that dwell a wide variety of habitats throughout the globe. They are famous for their cryptobiotic abilities that allow them to withstand extreme conditions and are also thought to aid dispersal of individual species. Moreover, tardigrades exhibit a range of reproductive modes, including dioecy and parthenogenesis. Theory predicts that both asexual reproduction and cryptobiotic survival should increase dispersal potential. On the other hand, differences in dispersal abilities are hypothesised to affect speciation and lineage extinction rates. Thus, tardigrades are an interesting model to address some of the fundamental questions of modern evolutionary biology, biogeography and taxonomy.</w:t>
      </w:r>
    </w:p>
    <w:p w14:paraId="4548BF8F" w14:textId="77777777" w:rsidR="005A073E" w:rsidRPr="00CC0F18" w:rsidRDefault="005A073E" w:rsidP="00CC0F18">
      <w:pPr>
        <w:spacing w:before="360" w:after="0"/>
        <w:jc w:val="both"/>
        <w:rPr>
          <w:rFonts w:asciiTheme="minorHAnsi" w:hAnsiTheme="minorHAnsi" w:cstheme="minorHAnsi"/>
          <w:b/>
          <w:sz w:val="24"/>
          <w:szCs w:val="24"/>
        </w:rPr>
      </w:pPr>
      <w:r w:rsidRPr="00CC0F18">
        <w:rPr>
          <w:rFonts w:asciiTheme="minorHAnsi" w:hAnsiTheme="minorHAnsi" w:cstheme="minorHAnsi"/>
          <w:b/>
          <w:sz w:val="24"/>
          <w:szCs w:val="24"/>
        </w:rPr>
        <w:t>The main question to be addressed in the project</w:t>
      </w:r>
    </w:p>
    <w:p w14:paraId="12E9A6D2" w14:textId="77777777" w:rsidR="005A073E" w:rsidRPr="00CC0F18" w:rsidRDefault="005A073E" w:rsidP="00CC0F18">
      <w:pPr>
        <w:pStyle w:val="Akapitzlist"/>
        <w:spacing w:after="120"/>
        <w:ind w:left="0"/>
        <w:contextualSpacing w:val="0"/>
        <w:jc w:val="both"/>
        <w:rPr>
          <w:rFonts w:cstheme="minorHAnsi"/>
          <w:sz w:val="24"/>
          <w:szCs w:val="24"/>
        </w:rPr>
      </w:pPr>
      <w:r w:rsidRPr="00CC0F18">
        <w:rPr>
          <w:rFonts w:cstheme="minorHAnsi"/>
          <w:sz w:val="24"/>
          <w:szCs w:val="24"/>
        </w:rPr>
        <w:t>How reproductive mode and cryptobiotic abilities affect dispersal and, in consequence, speciation and extinction rates in tardigrades?</w:t>
      </w:r>
    </w:p>
    <w:p w14:paraId="28B17FE9" w14:textId="77777777" w:rsidR="005A073E" w:rsidRPr="00CC0F18" w:rsidRDefault="005A073E" w:rsidP="00CC0F18">
      <w:pPr>
        <w:spacing w:before="360" w:after="0"/>
        <w:jc w:val="both"/>
        <w:rPr>
          <w:rFonts w:asciiTheme="minorHAnsi" w:hAnsiTheme="minorHAnsi" w:cstheme="minorHAnsi"/>
          <w:b/>
          <w:sz w:val="24"/>
          <w:szCs w:val="24"/>
        </w:rPr>
      </w:pPr>
      <w:r w:rsidRPr="00CC0F18">
        <w:rPr>
          <w:rFonts w:asciiTheme="minorHAnsi" w:hAnsiTheme="minorHAnsi" w:cstheme="minorHAnsi"/>
          <w:b/>
          <w:sz w:val="24"/>
          <w:szCs w:val="24"/>
        </w:rPr>
        <w:t>Information on the methods/description of work</w:t>
      </w:r>
    </w:p>
    <w:p w14:paraId="3C84DB45" w14:textId="77777777" w:rsidR="005A073E" w:rsidRPr="00CC0F18" w:rsidRDefault="005A073E" w:rsidP="00CC0F18">
      <w:pPr>
        <w:pStyle w:val="Akapitzlist"/>
        <w:spacing w:after="120"/>
        <w:ind w:left="0"/>
        <w:contextualSpacing w:val="0"/>
        <w:jc w:val="both"/>
        <w:rPr>
          <w:rFonts w:cstheme="minorHAnsi"/>
          <w:sz w:val="24"/>
          <w:szCs w:val="24"/>
        </w:rPr>
      </w:pPr>
      <w:r w:rsidRPr="00CC0F18">
        <w:rPr>
          <w:rFonts w:cstheme="minorHAnsi"/>
          <w:sz w:val="24"/>
          <w:szCs w:val="24"/>
        </w:rPr>
        <w:t>The successful candidate will be involved in fieldwork (sample collection), sample extraction, slide preparation, morphometrics and imaging in light microscope, processing specimens for scanning electron microscope, karyotyping, DNA extraction, amplification and sequencing, species identification, and taking care of tardigrade cultures. The student will also analyse data and prepare drafts of manuscripts, and will be involved in the promotion of results at seminars and conferences.</w:t>
      </w:r>
    </w:p>
    <w:p w14:paraId="4FDCC6CC" w14:textId="77777777" w:rsidR="005A073E" w:rsidRPr="00CC0F18" w:rsidRDefault="005A073E" w:rsidP="00CC0F18">
      <w:pPr>
        <w:spacing w:before="360" w:after="0"/>
        <w:jc w:val="both"/>
        <w:rPr>
          <w:rFonts w:asciiTheme="minorHAnsi" w:hAnsiTheme="minorHAnsi" w:cstheme="minorHAnsi"/>
          <w:b/>
          <w:sz w:val="24"/>
          <w:szCs w:val="24"/>
        </w:rPr>
      </w:pPr>
      <w:r w:rsidRPr="00CC0F18">
        <w:rPr>
          <w:rFonts w:asciiTheme="minorHAnsi" w:hAnsiTheme="minorHAnsi" w:cstheme="minorHAnsi"/>
          <w:b/>
          <w:sz w:val="24"/>
          <w:szCs w:val="24"/>
        </w:rPr>
        <w:t>Special requirements from the student</w:t>
      </w:r>
    </w:p>
    <w:p w14:paraId="63C36D0E" w14:textId="77777777" w:rsidR="005A073E" w:rsidRPr="00CC0F18" w:rsidRDefault="005A073E" w:rsidP="00CC0F18">
      <w:pPr>
        <w:spacing w:after="120"/>
        <w:jc w:val="both"/>
        <w:rPr>
          <w:rFonts w:asciiTheme="minorHAnsi" w:hAnsiTheme="minorHAnsi" w:cstheme="minorHAnsi"/>
          <w:sz w:val="24"/>
          <w:szCs w:val="24"/>
        </w:rPr>
      </w:pPr>
      <w:r w:rsidRPr="00CC0F18">
        <w:rPr>
          <w:rFonts w:asciiTheme="minorHAnsi" w:hAnsiTheme="minorHAnsi" w:cstheme="minorHAnsi"/>
          <w:sz w:val="24"/>
          <w:szCs w:val="24"/>
        </w:rPr>
        <w:t>Candidates are expected to have at least basic knowledge of integrative taxonomy methods, including morphometry (preferably using light microscope), DNA sequencing and phylogeny reconstruction. Interest in bioinformatics and a track record of scientific publications, preferably related to the project topic, are highly desirable.</w:t>
      </w:r>
    </w:p>
    <w:p w14:paraId="5B3B8FF8" w14:textId="77777777" w:rsidR="005A073E" w:rsidRPr="00CC0F18" w:rsidRDefault="005A073E" w:rsidP="00CC0F18">
      <w:pPr>
        <w:spacing w:before="360" w:after="0"/>
        <w:jc w:val="both"/>
        <w:rPr>
          <w:rFonts w:asciiTheme="minorHAnsi" w:hAnsiTheme="minorHAnsi" w:cstheme="minorHAnsi"/>
          <w:b/>
          <w:sz w:val="24"/>
          <w:szCs w:val="24"/>
        </w:rPr>
      </w:pPr>
      <w:r w:rsidRPr="00CC0F18">
        <w:rPr>
          <w:rFonts w:asciiTheme="minorHAnsi" w:hAnsiTheme="minorHAnsi" w:cstheme="minorHAnsi"/>
          <w:b/>
          <w:bCs/>
          <w:sz w:val="24"/>
          <w:szCs w:val="24"/>
        </w:rPr>
        <w:t>Additional information</w:t>
      </w:r>
    </w:p>
    <w:p w14:paraId="170F0DCA" w14:textId="77777777" w:rsidR="005A073E" w:rsidRPr="00CC0F18" w:rsidRDefault="005A073E" w:rsidP="00CC0F18">
      <w:pPr>
        <w:pStyle w:val="Akapitzlist"/>
        <w:spacing w:after="120"/>
        <w:ind w:left="0"/>
        <w:contextualSpacing w:val="0"/>
        <w:jc w:val="both"/>
        <w:rPr>
          <w:rFonts w:cstheme="minorHAnsi"/>
          <w:sz w:val="24"/>
          <w:szCs w:val="24"/>
        </w:rPr>
      </w:pPr>
      <w:r w:rsidRPr="00CC0F18">
        <w:rPr>
          <w:rFonts w:cstheme="minorHAnsi"/>
          <w:sz w:val="24"/>
          <w:szCs w:val="24"/>
        </w:rPr>
        <w:t xml:space="preserve">Duration: 10.2020–09.2024. In addition to the university scholarship (2.5k PLN/month), the student will receive extra 2k PLN/month from the Polish National Science Centre for three years. More information: </w:t>
      </w:r>
      <w:hyperlink r:id="rId8" w:history="1">
        <w:r w:rsidRPr="00CC0F18">
          <w:rPr>
            <w:rStyle w:val="Hipercze"/>
            <w:rFonts w:cstheme="minorHAnsi"/>
            <w:sz w:val="24"/>
            <w:szCs w:val="24"/>
          </w:rPr>
          <w:t>tardigrada.edu.pl/PhD.htm</w:t>
        </w:r>
      </w:hyperlink>
    </w:p>
    <w:p w14:paraId="3790B90D" w14:textId="77777777" w:rsidR="005A073E" w:rsidRPr="00CC0F18" w:rsidRDefault="005A073E" w:rsidP="006C207B">
      <w:pPr>
        <w:spacing w:before="360" w:after="0" w:line="240" w:lineRule="auto"/>
        <w:jc w:val="both"/>
        <w:rPr>
          <w:rFonts w:asciiTheme="minorHAnsi" w:hAnsiTheme="minorHAnsi" w:cstheme="minorHAnsi"/>
          <w:b/>
          <w:sz w:val="24"/>
          <w:szCs w:val="24"/>
        </w:rPr>
      </w:pPr>
      <w:r w:rsidRPr="00CC0F18">
        <w:rPr>
          <w:rFonts w:asciiTheme="minorHAnsi" w:hAnsiTheme="minorHAnsi" w:cstheme="minorHAnsi"/>
          <w:b/>
          <w:sz w:val="24"/>
          <w:szCs w:val="24"/>
        </w:rPr>
        <w:lastRenderedPageBreak/>
        <w:t>References</w:t>
      </w:r>
    </w:p>
    <w:p w14:paraId="46180A2E" w14:textId="77777777" w:rsidR="005A073E" w:rsidRPr="00CC0F18" w:rsidRDefault="005A073E" w:rsidP="00CC0F18">
      <w:pPr>
        <w:spacing w:after="120"/>
        <w:jc w:val="both"/>
        <w:rPr>
          <w:rFonts w:asciiTheme="minorHAnsi" w:hAnsiTheme="minorHAnsi" w:cstheme="minorHAnsi"/>
          <w:sz w:val="24"/>
          <w:szCs w:val="24"/>
        </w:rPr>
      </w:pPr>
      <w:proofErr w:type="spellStart"/>
      <w:r w:rsidRPr="00CC0F18">
        <w:rPr>
          <w:rFonts w:asciiTheme="minorHAnsi" w:hAnsiTheme="minorHAnsi" w:cstheme="minorHAnsi"/>
          <w:sz w:val="24"/>
          <w:szCs w:val="24"/>
        </w:rPr>
        <w:t>Fontaneto</w:t>
      </w:r>
      <w:proofErr w:type="spellEnd"/>
      <w:r w:rsidRPr="00CC0F18">
        <w:rPr>
          <w:rFonts w:asciiTheme="minorHAnsi" w:hAnsiTheme="minorHAnsi" w:cstheme="minorHAnsi"/>
          <w:sz w:val="24"/>
          <w:szCs w:val="24"/>
        </w:rPr>
        <w:t xml:space="preserve">, D., Barraclough, T.G., Chen, K., Ricci, C. &amp; </w:t>
      </w:r>
      <w:proofErr w:type="spellStart"/>
      <w:r w:rsidRPr="00CC0F18">
        <w:rPr>
          <w:rFonts w:asciiTheme="minorHAnsi" w:hAnsiTheme="minorHAnsi" w:cstheme="minorHAnsi"/>
          <w:sz w:val="24"/>
          <w:szCs w:val="24"/>
        </w:rPr>
        <w:t>Herniou</w:t>
      </w:r>
      <w:proofErr w:type="spellEnd"/>
      <w:r w:rsidRPr="00CC0F18">
        <w:rPr>
          <w:rFonts w:asciiTheme="minorHAnsi" w:hAnsiTheme="minorHAnsi" w:cstheme="minorHAnsi"/>
          <w:sz w:val="24"/>
          <w:szCs w:val="24"/>
        </w:rPr>
        <w:t xml:space="preserve">, E.A. (2008) Molecular evidence for broad-scale distributions in bdelloid rotifers: everything is not everywhere but most things are very widespread. Molecular Ecology, 17: 3136-3146. </w:t>
      </w:r>
      <w:hyperlink r:id="rId9" w:history="1">
        <w:r w:rsidRPr="00CC0F18">
          <w:rPr>
            <w:rStyle w:val="Hipercze"/>
            <w:rFonts w:asciiTheme="minorHAnsi" w:hAnsiTheme="minorHAnsi" w:cstheme="minorHAnsi"/>
            <w:sz w:val="24"/>
            <w:szCs w:val="24"/>
          </w:rPr>
          <w:t>https://doi.org/10.1111/j.1365-294X.2008.03806.x</w:t>
        </w:r>
      </w:hyperlink>
    </w:p>
    <w:p w14:paraId="234B541D" w14:textId="77777777" w:rsidR="005A073E" w:rsidRPr="00CC0F18" w:rsidRDefault="005A073E" w:rsidP="00CC0F18">
      <w:pPr>
        <w:spacing w:after="120"/>
        <w:jc w:val="both"/>
        <w:rPr>
          <w:rFonts w:asciiTheme="minorHAnsi" w:hAnsiTheme="minorHAnsi" w:cstheme="minorHAnsi"/>
          <w:sz w:val="24"/>
          <w:szCs w:val="24"/>
        </w:rPr>
      </w:pPr>
      <w:proofErr w:type="spellStart"/>
      <w:r w:rsidRPr="00CC0F18">
        <w:rPr>
          <w:rFonts w:asciiTheme="minorHAnsi" w:hAnsiTheme="minorHAnsi" w:cstheme="minorHAnsi"/>
          <w:sz w:val="24"/>
          <w:szCs w:val="24"/>
        </w:rPr>
        <w:t>Fontaneto</w:t>
      </w:r>
      <w:proofErr w:type="spellEnd"/>
      <w:r w:rsidRPr="00CC0F18">
        <w:rPr>
          <w:rFonts w:asciiTheme="minorHAnsi" w:hAnsiTheme="minorHAnsi" w:cstheme="minorHAnsi"/>
          <w:sz w:val="24"/>
          <w:szCs w:val="24"/>
        </w:rPr>
        <w:t xml:space="preserve">, D., Tang, C.Q., </w:t>
      </w:r>
      <w:proofErr w:type="spellStart"/>
      <w:r w:rsidRPr="00CC0F18">
        <w:rPr>
          <w:rFonts w:asciiTheme="minorHAnsi" w:hAnsiTheme="minorHAnsi" w:cstheme="minorHAnsi"/>
          <w:sz w:val="24"/>
          <w:szCs w:val="24"/>
        </w:rPr>
        <w:t>Obertegger</w:t>
      </w:r>
      <w:proofErr w:type="spellEnd"/>
      <w:r w:rsidRPr="00CC0F18">
        <w:rPr>
          <w:rFonts w:asciiTheme="minorHAnsi" w:hAnsiTheme="minorHAnsi" w:cstheme="minorHAnsi"/>
          <w:sz w:val="24"/>
          <w:szCs w:val="24"/>
        </w:rPr>
        <w:t xml:space="preserve">, U., </w:t>
      </w:r>
      <w:proofErr w:type="spellStart"/>
      <w:r w:rsidRPr="00CC0F18">
        <w:rPr>
          <w:rFonts w:asciiTheme="minorHAnsi" w:hAnsiTheme="minorHAnsi" w:cstheme="minorHAnsi"/>
          <w:sz w:val="24"/>
          <w:szCs w:val="24"/>
        </w:rPr>
        <w:t>Leasi</w:t>
      </w:r>
      <w:proofErr w:type="spellEnd"/>
      <w:r w:rsidRPr="00CC0F18">
        <w:rPr>
          <w:rFonts w:asciiTheme="minorHAnsi" w:hAnsiTheme="minorHAnsi" w:cstheme="minorHAnsi"/>
          <w:sz w:val="24"/>
          <w:szCs w:val="24"/>
        </w:rPr>
        <w:t xml:space="preserve">, F. &amp; Barraclough, T.G. (2012) Different diversification rates between sexual and asexual organisms. Evolutionary Biology, 39(2): 262-270. </w:t>
      </w:r>
      <w:hyperlink r:id="rId10" w:history="1">
        <w:r w:rsidRPr="00CC0F18">
          <w:rPr>
            <w:rStyle w:val="Hipercze"/>
            <w:rFonts w:asciiTheme="minorHAnsi" w:hAnsiTheme="minorHAnsi" w:cstheme="minorHAnsi"/>
            <w:sz w:val="24"/>
            <w:szCs w:val="24"/>
          </w:rPr>
          <w:t>https://doi.org/10.1007/s11692-012-9161-z</w:t>
        </w:r>
      </w:hyperlink>
    </w:p>
    <w:p w14:paraId="1BE6A85D" w14:textId="77777777" w:rsidR="005A073E" w:rsidRPr="00CC0F18" w:rsidRDefault="005A073E" w:rsidP="00CC0F18">
      <w:pPr>
        <w:spacing w:after="120"/>
        <w:jc w:val="both"/>
        <w:rPr>
          <w:rFonts w:asciiTheme="minorHAnsi" w:hAnsiTheme="minorHAnsi" w:cstheme="minorHAnsi"/>
          <w:sz w:val="24"/>
          <w:szCs w:val="24"/>
        </w:rPr>
      </w:pPr>
      <w:r w:rsidRPr="00CC0F18">
        <w:rPr>
          <w:rFonts w:asciiTheme="minorHAnsi" w:hAnsiTheme="minorHAnsi" w:cstheme="minorHAnsi"/>
          <w:sz w:val="24"/>
          <w:szCs w:val="24"/>
        </w:rPr>
        <w:t xml:space="preserve">Gąsiorek, P., Jackson, K.J., Meyer, H.A., Zając, K., Nelson, D.R., Kristensen, R.M. &amp; Michalczyk, Ł. (2019) </w:t>
      </w:r>
      <w:proofErr w:type="spellStart"/>
      <w:r w:rsidRPr="00CC0F18">
        <w:rPr>
          <w:rFonts w:asciiTheme="minorHAnsi" w:hAnsiTheme="minorHAnsi" w:cstheme="minorHAnsi"/>
          <w:i/>
          <w:sz w:val="24"/>
          <w:szCs w:val="24"/>
        </w:rPr>
        <w:t>Echiniscus</w:t>
      </w:r>
      <w:proofErr w:type="spellEnd"/>
      <w:r w:rsidRPr="00CC0F18">
        <w:rPr>
          <w:rFonts w:asciiTheme="minorHAnsi" w:hAnsiTheme="minorHAnsi" w:cstheme="minorHAnsi"/>
          <w:i/>
          <w:sz w:val="24"/>
          <w:szCs w:val="24"/>
        </w:rPr>
        <w:t xml:space="preserve"> </w:t>
      </w:r>
      <w:proofErr w:type="spellStart"/>
      <w:r w:rsidRPr="00CC0F18">
        <w:rPr>
          <w:rFonts w:asciiTheme="minorHAnsi" w:hAnsiTheme="minorHAnsi" w:cstheme="minorHAnsi"/>
          <w:i/>
          <w:sz w:val="24"/>
          <w:szCs w:val="24"/>
        </w:rPr>
        <w:t>virginicus</w:t>
      </w:r>
      <w:proofErr w:type="spellEnd"/>
      <w:r w:rsidRPr="00CC0F18">
        <w:rPr>
          <w:rFonts w:asciiTheme="minorHAnsi" w:hAnsiTheme="minorHAnsi" w:cstheme="minorHAnsi"/>
          <w:sz w:val="24"/>
          <w:szCs w:val="24"/>
        </w:rPr>
        <w:t xml:space="preserve"> complex: the first case of </w:t>
      </w:r>
      <w:proofErr w:type="spellStart"/>
      <w:r w:rsidRPr="00CC0F18">
        <w:rPr>
          <w:rFonts w:asciiTheme="minorHAnsi" w:hAnsiTheme="minorHAnsi" w:cstheme="minorHAnsi"/>
          <w:sz w:val="24"/>
          <w:szCs w:val="24"/>
        </w:rPr>
        <w:t>pseudocryptic</w:t>
      </w:r>
      <w:proofErr w:type="spellEnd"/>
      <w:r w:rsidRPr="00CC0F18">
        <w:rPr>
          <w:rFonts w:asciiTheme="minorHAnsi" w:hAnsiTheme="minorHAnsi" w:cstheme="minorHAnsi"/>
          <w:sz w:val="24"/>
          <w:szCs w:val="24"/>
        </w:rPr>
        <w:t xml:space="preserve"> </w:t>
      </w:r>
      <w:proofErr w:type="spellStart"/>
      <w:r w:rsidRPr="00CC0F18">
        <w:rPr>
          <w:rFonts w:asciiTheme="minorHAnsi" w:hAnsiTheme="minorHAnsi" w:cstheme="minorHAnsi"/>
          <w:sz w:val="24"/>
          <w:szCs w:val="24"/>
        </w:rPr>
        <w:t>allopatry</w:t>
      </w:r>
      <w:proofErr w:type="spellEnd"/>
      <w:r w:rsidRPr="00CC0F18">
        <w:rPr>
          <w:rFonts w:asciiTheme="minorHAnsi" w:hAnsiTheme="minorHAnsi" w:cstheme="minorHAnsi"/>
          <w:sz w:val="24"/>
          <w:szCs w:val="24"/>
        </w:rPr>
        <w:t xml:space="preserve"> and pantropical distribution in tardigrades. Biological Journal of the </w:t>
      </w:r>
      <w:proofErr w:type="spellStart"/>
      <w:r w:rsidRPr="00CC0F18">
        <w:rPr>
          <w:rFonts w:asciiTheme="minorHAnsi" w:hAnsiTheme="minorHAnsi" w:cstheme="minorHAnsi"/>
          <w:sz w:val="24"/>
          <w:szCs w:val="24"/>
        </w:rPr>
        <w:t>Linnean</w:t>
      </w:r>
      <w:proofErr w:type="spellEnd"/>
      <w:r w:rsidRPr="00CC0F18">
        <w:rPr>
          <w:rFonts w:asciiTheme="minorHAnsi" w:hAnsiTheme="minorHAnsi" w:cstheme="minorHAnsi"/>
          <w:sz w:val="24"/>
          <w:szCs w:val="24"/>
        </w:rPr>
        <w:t xml:space="preserve"> Society, 128(4): 789-805. </w:t>
      </w:r>
      <w:hyperlink r:id="rId11" w:history="1">
        <w:r w:rsidRPr="00CC0F18">
          <w:rPr>
            <w:rStyle w:val="Hipercze"/>
            <w:rFonts w:asciiTheme="minorHAnsi" w:hAnsiTheme="minorHAnsi" w:cstheme="minorHAnsi"/>
            <w:sz w:val="24"/>
            <w:szCs w:val="24"/>
          </w:rPr>
          <w:t>https://doi.org/10.1093/biolinnean/blz147</w:t>
        </w:r>
      </w:hyperlink>
    </w:p>
    <w:p w14:paraId="7AD5CABA" w14:textId="77777777" w:rsidR="005A073E" w:rsidRPr="00CC0F18" w:rsidRDefault="005A073E" w:rsidP="005A073E">
      <w:pPr>
        <w:spacing w:after="120"/>
        <w:ind w:left="426" w:hanging="426"/>
        <w:jc w:val="both"/>
        <w:rPr>
          <w:rFonts w:asciiTheme="minorHAnsi" w:hAnsiTheme="minorHAnsi" w:cstheme="minorHAnsi"/>
          <w:sz w:val="24"/>
          <w:szCs w:val="24"/>
        </w:rPr>
      </w:pPr>
    </w:p>
    <w:p w14:paraId="76CF44B1" w14:textId="77777777" w:rsidR="0061159F" w:rsidRPr="00CC0F18" w:rsidRDefault="0061159F">
      <w:pPr>
        <w:rPr>
          <w:rFonts w:asciiTheme="minorHAnsi" w:hAnsiTheme="minorHAnsi" w:cstheme="minorHAnsi"/>
          <w:sz w:val="24"/>
          <w:szCs w:val="24"/>
        </w:rPr>
      </w:pPr>
    </w:p>
    <w:sectPr w:rsidR="0061159F" w:rsidRPr="00CC0F1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C692B" w14:textId="77777777" w:rsidR="00854C20" w:rsidRDefault="00854C20" w:rsidP="005A073E">
      <w:pPr>
        <w:spacing w:after="0" w:line="240" w:lineRule="auto"/>
      </w:pPr>
      <w:r>
        <w:separator/>
      </w:r>
    </w:p>
  </w:endnote>
  <w:endnote w:type="continuationSeparator" w:id="0">
    <w:p w14:paraId="1C400B20" w14:textId="77777777" w:rsidR="00854C20" w:rsidRDefault="00854C20" w:rsidP="005A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922537"/>
      <w:docPartObj>
        <w:docPartGallery w:val="Page Numbers (Bottom of Page)"/>
        <w:docPartUnique/>
      </w:docPartObj>
    </w:sdtPr>
    <w:sdtEndPr/>
    <w:sdtContent>
      <w:p w14:paraId="0C92F722" w14:textId="77777777" w:rsidR="005A073E" w:rsidRDefault="005A073E">
        <w:pPr>
          <w:pStyle w:val="Stopka"/>
          <w:jc w:val="right"/>
        </w:pPr>
        <w:r>
          <w:fldChar w:fldCharType="begin"/>
        </w:r>
        <w:r>
          <w:instrText>PAGE   \* MERGEFORMAT</w:instrText>
        </w:r>
        <w:r>
          <w:fldChar w:fldCharType="separate"/>
        </w:r>
        <w:r w:rsidR="00E01853" w:rsidRPr="00E01853">
          <w:rPr>
            <w:noProof/>
            <w:lang w:val="pl-PL"/>
          </w:rPr>
          <w:t>2</w:t>
        </w:r>
        <w:r>
          <w:fldChar w:fldCharType="end"/>
        </w:r>
      </w:p>
    </w:sdtContent>
  </w:sdt>
  <w:p w14:paraId="7D1F8FAA" w14:textId="77777777" w:rsidR="005A073E" w:rsidRDefault="005A07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D4C79" w14:textId="77777777" w:rsidR="00854C20" w:rsidRDefault="00854C20" w:rsidP="005A073E">
      <w:pPr>
        <w:spacing w:after="0" w:line="240" w:lineRule="auto"/>
      </w:pPr>
      <w:r>
        <w:separator/>
      </w:r>
    </w:p>
  </w:footnote>
  <w:footnote w:type="continuationSeparator" w:id="0">
    <w:p w14:paraId="7C0797D0" w14:textId="77777777" w:rsidR="00854C20" w:rsidRDefault="00854C20" w:rsidP="005A0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56421"/>
    <w:multiLevelType w:val="hybridMultilevel"/>
    <w:tmpl w:val="2D407E8E"/>
    <w:lvl w:ilvl="0" w:tplc="79368C6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156"/>
    <w:rsid w:val="000C0095"/>
    <w:rsid w:val="001015FE"/>
    <w:rsid w:val="0012178C"/>
    <w:rsid w:val="002234FF"/>
    <w:rsid w:val="00301156"/>
    <w:rsid w:val="004A5749"/>
    <w:rsid w:val="00564E08"/>
    <w:rsid w:val="005758E4"/>
    <w:rsid w:val="005A073E"/>
    <w:rsid w:val="0061159F"/>
    <w:rsid w:val="0065177D"/>
    <w:rsid w:val="006C207B"/>
    <w:rsid w:val="00854C20"/>
    <w:rsid w:val="00921642"/>
    <w:rsid w:val="009D0F7D"/>
    <w:rsid w:val="00AE2B53"/>
    <w:rsid w:val="00B33EEA"/>
    <w:rsid w:val="00B97707"/>
    <w:rsid w:val="00C64026"/>
    <w:rsid w:val="00CC0F18"/>
    <w:rsid w:val="00CF6E66"/>
    <w:rsid w:val="00D038B5"/>
    <w:rsid w:val="00E01853"/>
    <w:rsid w:val="00EF168E"/>
    <w:rsid w:val="00F20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F352"/>
  <w15:docId w15:val="{C085E940-02CF-454C-AAD4-1F13B72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01156"/>
    <w:pPr>
      <w:pBdr>
        <w:top w:val="nil"/>
        <w:left w:val="nil"/>
        <w:bottom w:val="nil"/>
        <w:right w:val="nil"/>
        <w:between w:val="nil"/>
        <w:bar w:val="nil"/>
      </w:pBdr>
    </w:pPr>
    <w:rPr>
      <w:rFonts w:ascii="Calibri" w:eastAsia="Calibri" w:hAnsi="Calibri" w:cs="Calibri"/>
      <w:color w:val="000000"/>
      <w:u w:color="000000"/>
      <w:bdr w:val="nil"/>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1159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kapitzlist">
    <w:name w:val="List Paragraph"/>
    <w:basedOn w:val="Normalny"/>
    <w:uiPriority w:val="34"/>
    <w:qFormat/>
    <w:rsid w:val="0061159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val="en-GB" w:eastAsia="en-US"/>
    </w:rPr>
  </w:style>
  <w:style w:type="character" w:styleId="Hipercze">
    <w:name w:val="Hyperlink"/>
    <w:basedOn w:val="Domylnaczcionkaakapitu"/>
    <w:uiPriority w:val="99"/>
    <w:unhideWhenUsed/>
    <w:rsid w:val="005A073E"/>
    <w:rPr>
      <w:color w:val="0000FF" w:themeColor="hyperlink"/>
      <w:u w:val="single"/>
    </w:rPr>
  </w:style>
  <w:style w:type="paragraph" w:styleId="Nagwek">
    <w:name w:val="header"/>
    <w:basedOn w:val="Normalny"/>
    <w:link w:val="NagwekZnak"/>
    <w:uiPriority w:val="99"/>
    <w:unhideWhenUsed/>
    <w:rsid w:val="005A07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073E"/>
    <w:rPr>
      <w:rFonts w:ascii="Calibri" w:eastAsia="Calibri" w:hAnsi="Calibri" w:cs="Calibri"/>
      <w:color w:val="000000"/>
      <w:u w:color="000000"/>
      <w:bdr w:val="nil"/>
      <w:lang w:val="en-US" w:eastAsia="pl-PL"/>
    </w:rPr>
  </w:style>
  <w:style w:type="paragraph" w:styleId="Stopka">
    <w:name w:val="footer"/>
    <w:basedOn w:val="Normalny"/>
    <w:link w:val="StopkaZnak"/>
    <w:uiPriority w:val="99"/>
    <w:unhideWhenUsed/>
    <w:rsid w:val="005A07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73E"/>
    <w:rPr>
      <w:rFonts w:ascii="Calibri" w:eastAsia="Calibri" w:hAnsi="Calibri" w:cs="Calibri"/>
      <w:color w:val="000000"/>
      <w:u w:color="000000"/>
      <w:bdr w:val="nil"/>
      <w:lang w:val="en-US" w:eastAsia="pl-PL"/>
    </w:rPr>
  </w:style>
  <w:style w:type="character" w:styleId="Nierozpoznanawzmianka">
    <w:name w:val="Unresolved Mention"/>
    <w:basedOn w:val="Domylnaczcionkaakapitu"/>
    <w:uiPriority w:val="99"/>
    <w:semiHidden/>
    <w:unhideWhenUsed/>
    <w:rsid w:val="00CC0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digrada.edu.pl/PhD.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ichalczyk@uj.edu.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biolinnean/blz147" TargetMode="External"/><Relationship Id="rId5" Type="http://schemas.openxmlformats.org/officeDocument/2006/relationships/footnotes" Target="footnotes.xml"/><Relationship Id="rId10" Type="http://schemas.openxmlformats.org/officeDocument/2006/relationships/hyperlink" Target="https://doi.org/10.1007/s11692-012-9161-z" TargetMode="External"/><Relationship Id="rId4" Type="http://schemas.openxmlformats.org/officeDocument/2006/relationships/webSettings" Target="webSettings.xml"/><Relationship Id="rId9" Type="http://schemas.openxmlformats.org/officeDocument/2006/relationships/hyperlink" Target="https://doi.org/10.1111/j.1365-294X.2008.03806.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3038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user</cp:lastModifiedBy>
  <cp:revision>4</cp:revision>
  <dcterms:created xsi:type="dcterms:W3CDTF">2020-06-09T11:46:00Z</dcterms:created>
  <dcterms:modified xsi:type="dcterms:W3CDTF">2020-06-09T13:08:00Z</dcterms:modified>
</cp:coreProperties>
</file>